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09" w:rsidRPr="00310272" w:rsidRDefault="0067085D" w:rsidP="00310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10272">
        <w:rPr>
          <w:rFonts w:ascii="Times New Roman" w:hAnsi="Times New Roman" w:cs="Times New Roman"/>
          <w:b/>
          <w:sz w:val="36"/>
          <w:szCs w:val="36"/>
        </w:rPr>
        <w:t>No</w:t>
      </w:r>
      <w:r w:rsidR="00310272">
        <w:rPr>
          <w:rFonts w:ascii="Times New Roman" w:hAnsi="Times New Roman" w:cs="Times New Roman"/>
          <w:b/>
          <w:sz w:val="36"/>
          <w:szCs w:val="36"/>
        </w:rPr>
        <w:t>vel Oral Anticoagulants (NOACS)</w:t>
      </w:r>
      <w:r w:rsidRPr="00310272">
        <w:rPr>
          <w:rFonts w:ascii="Times New Roman" w:hAnsi="Times New Roman" w:cs="Times New Roman"/>
          <w:b/>
          <w:sz w:val="36"/>
          <w:szCs w:val="36"/>
        </w:rPr>
        <w:t xml:space="preserve"> Peri-Operative Management</w:t>
      </w:r>
    </w:p>
    <w:p w:rsidR="0067085D" w:rsidRPr="00310272" w:rsidRDefault="0067085D" w:rsidP="00CC41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Background:</w:t>
      </w:r>
    </w:p>
    <w:p w:rsidR="0066472A" w:rsidRDefault="0066472A" w:rsidP="00664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NOACs (apixaban, dabigatran, rivaroxaban and edoxaban) are approved for clinical use in Canada based on findings from large randomized trials.</w:t>
      </w:r>
    </w:p>
    <w:p w:rsidR="0067085D" w:rsidRPr="00310272" w:rsidRDefault="0067085D" w:rsidP="00CC4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The peri-operative management of NOAC-treated </w:t>
      </w:r>
      <w:r w:rsidR="00FB03C3" w:rsidRPr="00310272">
        <w:rPr>
          <w:rFonts w:ascii="Times New Roman" w:hAnsi="Times New Roman" w:cs="Times New Roman"/>
          <w:sz w:val="24"/>
          <w:szCs w:val="24"/>
        </w:rPr>
        <w:t xml:space="preserve">patients aims to interrupt anticoagulant therapy (if necessary) so there is no (or minimal) residual anticoagulant effect at the time of surgery, and to </w:t>
      </w:r>
      <w:r w:rsidR="00006D86" w:rsidRPr="00310272">
        <w:rPr>
          <w:rFonts w:ascii="Times New Roman" w:hAnsi="Times New Roman" w:cs="Times New Roman"/>
          <w:sz w:val="24"/>
          <w:szCs w:val="24"/>
        </w:rPr>
        <w:t xml:space="preserve">not incur an increased risk for post-operative bleeding. </w:t>
      </w:r>
    </w:p>
    <w:p w:rsidR="00006D86" w:rsidRPr="00310272" w:rsidRDefault="00006D86" w:rsidP="00CC4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There are 3 important considerations for peri-operative</w:t>
      </w:r>
      <w:r w:rsidR="00371A22" w:rsidRPr="00310272">
        <w:rPr>
          <w:rFonts w:ascii="Times New Roman" w:hAnsi="Times New Roman" w:cs="Times New Roman"/>
          <w:sz w:val="24"/>
          <w:szCs w:val="24"/>
        </w:rPr>
        <w:t xml:space="preserve"> management of patients taking a NOAC:</w:t>
      </w:r>
    </w:p>
    <w:p w:rsidR="00371A22" w:rsidRPr="00310272" w:rsidRDefault="00371A22" w:rsidP="00CC418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Reliable laboratory tests to confirm the absence of a residual anticoagulant effect of NOACs are not widely available.</w:t>
      </w:r>
    </w:p>
    <w:p w:rsidR="00371A22" w:rsidRPr="00310272" w:rsidRDefault="00371A22" w:rsidP="00CC418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Half-lives of NOACs differ and increase with worsening renal function, affecting when a drug should be stopped before surgery.</w:t>
      </w:r>
    </w:p>
    <w:p w:rsidR="00371A22" w:rsidRPr="00310272" w:rsidRDefault="00371A22" w:rsidP="00CC418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NOACs have rapid onset of action, with a peak anticoagulant effect occurring 1-2 hours after oral intake.</w:t>
      </w:r>
    </w:p>
    <w:p w:rsidR="00371A22" w:rsidRPr="00310272" w:rsidRDefault="00371A22" w:rsidP="00CC4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In the absence of laboratory test</w:t>
      </w:r>
      <w:r w:rsidR="00D27741" w:rsidRPr="00310272">
        <w:rPr>
          <w:rFonts w:ascii="Times New Roman" w:hAnsi="Times New Roman" w:cs="Times New Roman"/>
          <w:sz w:val="24"/>
          <w:szCs w:val="24"/>
        </w:rPr>
        <w:t>s</w:t>
      </w:r>
      <w:r w:rsidRPr="00310272">
        <w:rPr>
          <w:rFonts w:ascii="Times New Roman" w:hAnsi="Times New Roman" w:cs="Times New Roman"/>
          <w:sz w:val="24"/>
          <w:szCs w:val="24"/>
        </w:rPr>
        <w:t xml:space="preserve"> to reliably measure their anticoagulant effect, the peri-operative administration of NOACs should be influenced by:</w:t>
      </w:r>
    </w:p>
    <w:p w:rsidR="00371A22" w:rsidRPr="00310272" w:rsidRDefault="00371A22" w:rsidP="00CC41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Drug elimination half-life (with normal renal function), </w:t>
      </w:r>
    </w:p>
    <w:p w:rsidR="00371A22" w:rsidRPr="00310272" w:rsidRDefault="00371A22" w:rsidP="00CC41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Effect of renal function on drug elimination half-life, and</w:t>
      </w:r>
    </w:p>
    <w:p w:rsidR="00371A22" w:rsidRPr="00310272" w:rsidRDefault="00371A22" w:rsidP="00CC41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Bleeding risk associated with the surgery/procedure type</w:t>
      </w:r>
      <w:r w:rsidR="00321E08">
        <w:rPr>
          <w:rFonts w:ascii="Times New Roman" w:hAnsi="Times New Roman" w:cs="Times New Roman"/>
          <w:sz w:val="24"/>
          <w:szCs w:val="24"/>
        </w:rPr>
        <w:t xml:space="preserve"> (table 3)</w:t>
      </w:r>
    </w:p>
    <w:p w:rsidR="00DC41C0" w:rsidRPr="00310272" w:rsidRDefault="00DC41C0" w:rsidP="00CC41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Whether patient is to receive spinal/epidural anesthesia. </w:t>
      </w:r>
    </w:p>
    <w:p w:rsidR="0091043A" w:rsidRPr="00310272" w:rsidRDefault="0091043A" w:rsidP="00CC41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Peri-Operative Management:</w:t>
      </w:r>
    </w:p>
    <w:p w:rsidR="0091043A" w:rsidRPr="00310272" w:rsidRDefault="0091043A" w:rsidP="00CC41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Patients Receiving Dabigatran</w:t>
      </w:r>
    </w:p>
    <w:p w:rsidR="0091043A" w:rsidRPr="00310272" w:rsidRDefault="0091043A" w:rsidP="00CC41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0272">
        <w:rPr>
          <w:rFonts w:ascii="Times New Roman" w:hAnsi="Times New Roman" w:cs="Times New Roman"/>
          <w:b/>
          <w:i/>
          <w:sz w:val="24"/>
          <w:szCs w:val="24"/>
        </w:rPr>
        <w:t>Pre-Operative Management (Table 1):</w:t>
      </w:r>
    </w:p>
    <w:p w:rsidR="0091043A" w:rsidRPr="00310272" w:rsidRDefault="0091043A" w:rsidP="00CC418A">
      <w:pPr>
        <w:pStyle w:val="ListParagraph"/>
        <w:numPr>
          <w:ilvl w:val="0"/>
          <w:numId w:val="3"/>
        </w:numPr>
        <w:spacing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Minor surgery/procedure</w:t>
      </w:r>
      <w:r w:rsidRPr="00310272">
        <w:rPr>
          <w:rFonts w:ascii="Times New Roman" w:hAnsi="Times New Roman" w:cs="Times New Roman"/>
          <w:sz w:val="24"/>
          <w:szCs w:val="24"/>
        </w:rPr>
        <w:t>: Stop dabigatran 1 day before surgery/procedure (i.e., skip 2 doses before a surgery/procedure), which corresponds to approximately 2 half-lives elapsed between stopping dabigatran and surgery. There may be a 12-25% anticoagulant effect at the time of surge</w:t>
      </w:r>
      <w:r w:rsidR="008C6DC5" w:rsidRPr="00310272">
        <w:rPr>
          <w:rFonts w:ascii="Times New Roman" w:hAnsi="Times New Roman" w:cs="Times New Roman"/>
          <w:sz w:val="24"/>
          <w:szCs w:val="24"/>
        </w:rPr>
        <w:t>ry, which is acceptable for a m</w:t>
      </w:r>
      <w:r w:rsidRPr="00310272">
        <w:rPr>
          <w:rFonts w:ascii="Times New Roman" w:hAnsi="Times New Roman" w:cs="Times New Roman"/>
          <w:sz w:val="24"/>
          <w:szCs w:val="24"/>
        </w:rPr>
        <w:t>inor surgery/procedure.</w:t>
      </w:r>
    </w:p>
    <w:p w:rsidR="0091043A" w:rsidRPr="00310272" w:rsidRDefault="00BF0C02" w:rsidP="00CC418A">
      <w:pPr>
        <w:pStyle w:val="ListParagraph"/>
        <w:numPr>
          <w:ilvl w:val="0"/>
          <w:numId w:val="3"/>
        </w:numPr>
        <w:spacing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Major surgery/procedure including neuraxial anesthesia</w:t>
      </w:r>
      <w:r w:rsidRPr="00310272">
        <w:rPr>
          <w:rFonts w:ascii="Times New Roman" w:hAnsi="Times New Roman" w:cs="Times New Roman"/>
          <w:sz w:val="24"/>
          <w:szCs w:val="24"/>
        </w:rPr>
        <w:t xml:space="preserve">: Stop dabigatran </w:t>
      </w:r>
      <w:r w:rsidR="00C05C93">
        <w:rPr>
          <w:rFonts w:ascii="Times New Roman" w:hAnsi="Times New Roman" w:cs="Times New Roman"/>
          <w:sz w:val="24"/>
          <w:szCs w:val="24"/>
        </w:rPr>
        <w:t>3</w:t>
      </w:r>
      <w:r w:rsidRPr="00310272">
        <w:rPr>
          <w:rFonts w:ascii="Times New Roman" w:hAnsi="Times New Roman" w:cs="Times New Roman"/>
          <w:sz w:val="24"/>
          <w:szCs w:val="24"/>
        </w:rPr>
        <w:t xml:space="preserve"> days before surgery (i.e., skip </w:t>
      </w:r>
      <w:r w:rsidR="00C05C93">
        <w:rPr>
          <w:rFonts w:ascii="Times New Roman" w:hAnsi="Times New Roman" w:cs="Times New Roman"/>
          <w:sz w:val="24"/>
          <w:szCs w:val="24"/>
        </w:rPr>
        <w:t>6</w:t>
      </w:r>
      <w:r w:rsidRPr="00310272">
        <w:rPr>
          <w:rFonts w:ascii="Times New Roman" w:hAnsi="Times New Roman" w:cs="Times New Roman"/>
          <w:sz w:val="24"/>
          <w:szCs w:val="24"/>
        </w:rPr>
        <w:t xml:space="preserve"> doses), which corresponds to approximately 4-5 half-lives elapsed between stopping dabigatran and surgery. This ensures minimal (3-6%) residual anticoagulant effect at the time of surgery and allows patients to have spinal anesthesia or high bleeding risk surgery (e.g., intracranial or cardiac).</w:t>
      </w:r>
    </w:p>
    <w:p w:rsidR="00BF0C02" w:rsidRPr="00310272" w:rsidRDefault="00BF0C02" w:rsidP="00CC418A">
      <w:pPr>
        <w:pStyle w:val="ListParagraph"/>
        <w:numPr>
          <w:ilvl w:val="0"/>
          <w:numId w:val="3"/>
        </w:numPr>
        <w:spacing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If renal function is mo</w:t>
      </w:r>
      <w:r w:rsidR="00B11856" w:rsidRPr="00310272">
        <w:rPr>
          <w:rFonts w:ascii="Times New Roman" w:hAnsi="Times New Roman" w:cs="Times New Roman"/>
          <w:sz w:val="24"/>
          <w:szCs w:val="24"/>
        </w:rPr>
        <w:t>derately impaired (CrCl 30-49 mL</w:t>
      </w:r>
      <w:r w:rsidR="00D27741" w:rsidRPr="00310272">
        <w:rPr>
          <w:rFonts w:ascii="Times New Roman" w:hAnsi="Times New Roman" w:cs="Times New Roman"/>
          <w:sz w:val="24"/>
          <w:szCs w:val="24"/>
        </w:rPr>
        <w:t>/m</w:t>
      </w:r>
      <w:r w:rsidRPr="00310272">
        <w:rPr>
          <w:rFonts w:ascii="Times New Roman" w:hAnsi="Times New Roman" w:cs="Times New Roman"/>
          <w:sz w:val="24"/>
          <w:szCs w:val="24"/>
        </w:rPr>
        <w:t>in), 1-2 additional days of interruption is required to ensure elimination of any residual anticoagulant effect, as 80% of dabigatran is</w:t>
      </w:r>
      <w:r w:rsidR="00CC418A" w:rsidRPr="00310272">
        <w:rPr>
          <w:rFonts w:ascii="Times New Roman" w:hAnsi="Times New Roman" w:cs="Times New Roman"/>
          <w:sz w:val="24"/>
          <w:szCs w:val="24"/>
        </w:rPr>
        <w:t xml:space="preserve"> cleared by the kidneys.</w:t>
      </w:r>
      <w:r w:rsidRPr="00310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18A" w:rsidRPr="00310272" w:rsidRDefault="00CC418A" w:rsidP="00CC41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0272">
        <w:rPr>
          <w:rFonts w:ascii="Times New Roman" w:hAnsi="Times New Roman" w:cs="Times New Roman"/>
          <w:b/>
          <w:i/>
          <w:sz w:val="24"/>
          <w:szCs w:val="24"/>
        </w:rPr>
        <w:lastRenderedPageBreak/>
        <w:t>Post-Operative Management (Table 2):</w:t>
      </w:r>
    </w:p>
    <w:p w:rsidR="00017FDD" w:rsidRDefault="00CC418A" w:rsidP="00CC4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Resumption of dabigatran 150 mg or 110 mg twice daily should be done cautiously after major surgery or in patients at increased bleeding risk, as this is a therapeutic-dose which is higher </w:t>
      </w:r>
      <w:r w:rsidR="008C6DC5" w:rsidRPr="00310272">
        <w:rPr>
          <w:rFonts w:ascii="Times New Roman" w:hAnsi="Times New Roman" w:cs="Times New Roman"/>
          <w:sz w:val="24"/>
          <w:szCs w:val="24"/>
        </w:rPr>
        <w:t>than that used for post-operativ</w:t>
      </w:r>
      <w:r w:rsidRPr="00310272">
        <w:rPr>
          <w:rFonts w:ascii="Times New Roman" w:hAnsi="Times New Roman" w:cs="Times New Roman"/>
          <w:sz w:val="24"/>
          <w:szCs w:val="24"/>
        </w:rPr>
        <w:t xml:space="preserve">e VTE prevention </w:t>
      </w:r>
    </w:p>
    <w:p w:rsidR="00E30749" w:rsidRPr="00310272" w:rsidRDefault="00E30749" w:rsidP="00CC41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Patients Receiving Rivaroxaban</w:t>
      </w:r>
    </w:p>
    <w:p w:rsidR="00E30749" w:rsidRPr="00310272" w:rsidRDefault="00E30749" w:rsidP="00CC41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0272">
        <w:rPr>
          <w:rFonts w:ascii="Times New Roman" w:hAnsi="Times New Roman" w:cs="Times New Roman"/>
          <w:b/>
          <w:i/>
          <w:sz w:val="24"/>
          <w:szCs w:val="24"/>
        </w:rPr>
        <w:t>Pre-Operative Management (Table 1):</w:t>
      </w:r>
    </w:p>
    <w:p w:rsidR="00E30749" w:rsidRPr="00310272" w:rsidRDefault="00E30749" w:rsidP="00E307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Minor surgery/procedure</w:t>
      </w:r>
      <w:r w:rsidRPr="00310272">
        <w:rPr>
          <w:rFonts w:ascii="Times New Roman" w:hAnsi="Times New Roman" w:cs="Times New Roman"/>
          <w:sz w:val="24"/>
          <w:szCs w:val="24"/>
        </w:rPr>
        <w:t xml:space="preserve">: Stop rivaroxaban 1 day before surgery/procedure (i.e., skip 1 dose), which corresponds to approximately 2 half-lives elapsed between stopping rivaroxaban and surgery. </w:t>
      </w:r>
    </w:p>
    <w:p w:rsidR="00AC1BB1" w:rsidRPr="00310272" w:rsidRDefault="00AC1BB1" w:rsidP="00E307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Major surgery/procedure including neuraxial anesthesia</w:t>
      </w:r>
      <w:r w:rsidRPr="00310272">
        <w:rPr>
          <w:rFonts w:ascii="Times New Roman" w:hAnsi="Times New Roman" w:cs="Times New Roman"/>
          <w:sz w:val="24"/>
          <w:szCs w:val="24"/>
        </w:rPr>
        <w:t xml:space="preserve">: Stop rivaroxaban 2 days before surgery (i.e., skip 2 doses), which corresponds to approximately 4-5 half-lives elapsed between stopping rivaroxaban and surgery. </w:t>
      </w:r>
    </w:p>
    <w:p w:rsidR="00AC1BB1" w:rsidRPr="00310272" w:rsidRDefault="00AC1BB1" w:rsidP="00AC1BB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0272">
        <w:rPr>
          <w:rFonts w:ascii="Times New Roman" w:hAnsi="Times New Roman" w:cs="Times New Roman"/>
          <w:b/>
          <w:i/>
          <w:sz w:val="24"/>
          <w:szCs w:val="24"/>
        </w:rPr>
        <w:t>Post-Operative Management (Table 2):</w:t>
      </w:r>
    </w:p>
    <w:p w:rsidR="00AC1BB1" w:rsidRPr="00310272" w:rsidRDefault="00AC1BB1" w:rsidP="00AC1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Resumption of rivaroxaban 20 mg (or 15 mg if usual dose) once daily should be done cautiously after major surgery or in patients at increased bleeding risk, as this is a therapeutic-dose which is higher than </w:t>
      </w:r>
      <w:r w:rsidR="008D4DE5" w:rsidRPr="00310272">
        <w:rPr>
          <w:rFonts w:ascii="Times New Roman" w:hAnsi="Times New Roman" w:cs="Times New Roman"/>
          <w:sz w:val="24"/>
          <w:szCs w:val="24"/>
        </w:rPr>
        <w:t xml:space="preserve">that </w:t>
      </w:r>
      <w:r w:rsidRPr="00310272">
        <w:rPr>
          <w:rFonts w:ascii="Times New Roman" w:hAnsi="Times New Roman" w:cs="Times New Roman"/>
          <w:sz w:val="24"/>
          <w:szCs w:val="24"/>
        </w:rPr>
        <w:t xml:space="preserve">used for post-operative VTE prevention (See Thromboprophylaxis: Orthopedic Surgery guide). </w:t>
      </w:r>
    </w:p>
    <w:p w:rsidR="00282D24" w:rsidRPr="00310272" w:rsidRDefault="00282D24" w:rsidP="00AC1B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Patients Receiving Apixaban</w:t>
      </w:r>
    </w:p>
    <w:p w:rsidR="00282D24" w:rsidRPr="00310272" w:rsidRDefault="00282D24" w:rsidP="00AC1BB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0272">
        <w:rPr>
          <w:rFonts w:ascii="Times New Roman" w:hAnsi="Times New Roman" w:cs="Times New Roman"/>
          <w:b/>
          <w:i/>
          <w:sz w:val="24"/>
          <w:szCs w:val="24"/>
        </w:rPr>
        <w:t>Pre-Operative Management (Table 1):</w:t>
      </w:r>
    </w:p>
    <w:p w:rsidR="00253D22" w:rsidRPr="00310272" w:rsidRDefault="00253D22" w:rsidP="00253D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Minor surgery/procedure</w:t>
      </w:r>
      <w:r w:rsidRPr="00310272">
        <w:rPr>
          <w:rFonts w:ascii="Times New Roman" w:hAnsi="Times New Roman" w:cs="Times New Roman"/>
          <w:sz w:val="24"/>
          <w:szCs w:val="24"/>
        </w:rPr>
        <w:t>: Stop apixaban 1 day before surgery/procedure (i.e., skip 2 doses), which corresponds to approximately 2 half-lives elapse</w:t>
      </w:r>
      <w:r w:rsidR="00BA29A1" w:rsidRPr="00310272">
        <w:rPr>
          <w:rFonts w:ascii="Times New Roman" w:hAnsi="Times New Roman" w:cs="Times New Roman"/>
          <w:sz w:val="24"/>
          <w:szCs w:val="24"/>
        </w:rPr>
        <w:t>d</w:t>
      </w:r>
      <w:r w:rsidRPr="00310272">
        <w:rPr>
          <w:rFonts w:ascii="Times New Roman" w:hAnsi="Times New Roman" w:cs="Times New Roman"/>
          <w:sz w:val="24"/>
          <w:szCs w:val="24"/>
        </w:rPr>
        <w:t xml:space="preserve"> between stopping apixaban and surgery.</w:t>
      </w:r>
    </w:p>
    <w:p w:rsidR="00253D22" w:rsidRPr="00310272" w:rsidRDefault="00253D22" w:rsidP="00253D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Major surgery/procedure including neuraxial anesthesia</w:t>
      </w:r>
      <w:r w:rsidRPr="00310272">
        <w:rPr>
          <w:rFonts w:ascii="Times New Roman" w:hAnsi="Times New Roman" w:cs="Times New Roman"/>
          <w:sz w:val="24"/>
          <w:szCs w:val="24"/>
        </w:rPr>
        <w:t xml:space="preserve">: Stop apixaban 2 days before surgery (i.e., skip 4 doses), which corresponds to approximately 4-5 half-lives elapsed between stopping apixaban and surgery. </w:t>
      </w:r>
    </w:p>
    <w:p w:rsidR="00682496" w:rsidRPr="00310272" w:rsidRDefault="00682496" w:rsidP="0068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i/>
          <w:sz w:val="24"/>
          <w:szCs w:val="24"/>
        </w:rPr>
        <w:t>Post-Operative Management (Table 2):</w:t>
      </w:r>
    </w:p>
    <w:p w:rsidR="001745A5" w:rsidRDefault="00682496" w:rsidP="0068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Resumption of apixaban 5 mg twice daily should be done cautiously after major surgery or in patients at increased bleeding risk, as this is a therapeutic-dose which is higher than that for post-operative VTE preventio</w:t>
      </w:r>
      <w:r w:rsidR="004C5B2A" w:rsidRPr="00310272">
        <w:rPr>
          <w:rFonts w:ascii="Times New Roman" w:hAnsi="Times New Roman" w:cs="Times New Roman"/>
          <w:sz w:val="24"/>
          <w:szCs w:val="24"/>
        </w:rPr>
        <w:t xml:space="preserve">n (See Thromboprophylaxis: </w:t>
      </w:r>
      <w:r w:rsidR="00914C25" w:rsidRPr="00310272">
        <w:rPr>
          <w:rFonts w:ascii="Times New Roman" w:hAnsi="Times New Roman" w:cs="Times New Roman"/>
          <w:sz w:val="24"/>
          <w:szCs w:val="24"/>
        </w:rPr>
        <w:t>Orthopedic Surgery guide).</w:t>
      </w:r>
    </w:p>
    <w:p w:rsidR="00E33576" w:rsidRPr="00017FDD" w:rsidRDefault="00E33576" w:rsidP="00E3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Patients Receiving Edoxaban </w:t>
      </w:r>
    </w:p>
    <w:p w:rsidR="00E33576" w:rsidRPr="00E33576" w:rsidRDefault="00E33576" w:rsidP="00E33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33576" w:rsidRPr="00E33576" w:rsidRDefault="00E33576" w:rsidP="00E3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5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Pre-Operative Management (Table 1): </w:t>
      </w:r>
    </w:p>
    <w:p w:rsidR="00017FDD" w:rsidRDefault="00E33576" w:rsidP="00017FD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Minor surgery/procedure: </w:t>
      </w:r>
      <w:r w:rsidRPr="00017FDD">
        <w:rPr>
          <w:rFonts w:ascii="Times New Roman" w:hAnsi="Times New Roman" w:cs="Times New Roman"/>
          <w:color w:val="000000"/>
          <w:sz w:val="24"/>
          <w:szCs w:val="24"/>
        </w:rPr>
        <w:t xml:space="preserve">Stop edoxaban 1 day before surgery/procedure (i.e. skip 1 dose), which corresponds to approximately 2-3 half-lives elapsed between stopping apixaban and surgery. </w:t>
      </w:r>
    </w:p>
    <w:p w:rsidR="00E33576" w:rsidRPr="00017FDD" w:rsidRDefault="00E33576" w:rsidP="00017FD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F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Major surgery/procedure including neuraxial anesthesia</w:t>
      </w:r>
      <w:r w:rsidRPr="00017FDD">
        <w:rPr>
          <w:rFonts w:ascii="Times New Roman" w:hAnsi="Times New Roman" w:cs="Times New Roman"/>
          <w:color w:val="000000"/>
          <w:sz w:val="24"/>
          <w:szCs w:val="24"/>
        </w:rPr>
        <w:t xml:space="preserve">: Stop edoxaban 2 days before surgery (i.e. skip 2 doses), which corresponds to approximately 4-5 half-lives elapsed between stopping edoxaban and surgery. </w:t>
      </w:r>
    </w:p>
    <w:p w:rsidR="00E33576" w:rsidRPr="00E33576" w:rsidRDefault="00E33576" w:rsidP="00E3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3576" w:rsidRPr="00E33576" w:rsidRDefault="00E33576" w:rsidP="00E3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5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Post-Operative Management (Table 2): </w:t>
      </w:r>
    </w:p>
    <w:p w:rsidR="00E33576" w:rsidRPr="00017FDD" w:rsidRDefault="00E33576" w:rsidP="00E33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FDD">
        <w:rPr>
          <w:rFonts w:ascii="Times New Roman" w:hAnsi="Times New Roman" w:cs="Times New Roman"/>
          <w:color w:val="000000"/>
          <w:sz w:val="24"/>
          <w:szCs w:val="24"/>
        </w:rPr>
        <w:t>Resumption of edoxaban 60 mg or 30 mg daily should be done cautiously after major surgery or in patients at increased bleeding risk, as this is a therapeutic-dose.</w:t>
      </w:r>
    </w:p>
    <w:p w:rsidR="00682496" w:rsidRDefault="00682496" w:rsidP="006824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 xml:space="preserve">Table 1. Suggested Guide for </w:t>
      </w:r>
      <w:r w:rsidRPr="00310272">
        <w:rPr>
          <w:rFonts w:ascii="Times New Roman" w:hAnsi="Times New Roman" w:cs="Times New Roman"/>
          <w:b/>
          <w:i/>
          <w:sz w:val="24"/>
          <w:szCs w:val="24"/>
          <w:u w:val="single"/>
        </w:rPr>
        <w:t>Pre-Operative</w:t>
      </w:r>
      <w:r w:rsidRPr="00310272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="00A85786" w:rsidRPr="00310272">
        <w:rPr>
          <w:rFonts w:ascii="Times New Roman" w:hAnsi="Times New Roman" w:cs="Times New Roman"/>
          <w:b/>
          <w:sz w:val="24"/>
          <w:szCs w:val="24"/>
        </w:rPr>
        <w:t xml:space="preserve"> of P</w:t>
      </w:r>
      <w:r w:rsidRPr="00310272">
        <w:rPr>
          <w:rFonts w:ascii="Times New Roman" w:hAnsi="Times New Roman" w:cs="Times New Roman"/>
          <w:b/>
          <w:sz w:val="24"/>
          <w:szCs w:val="24"/>
        </w:rPr>
        <w:t xml:space="preserve">atients </w:t>
      </w:r>
      <w:r w:rsidR="00A85786" w:rsidRPr="00310272">
        <w:rPr>
          <w:rFonts w:ascii="Times New Roman" w:hAnsi="Times New Roman" w:cs="Times New Roman"/>
          <w:b/>
          <w:sz w:val="24"/>
          <w:szCs w:val="24"/>
        </w:rPr>
        <w:t>R</w:t>
      </w:r>
      <w:r w:rsidRPr="00310272">
        <w:rPr>
          <w:rFonts w:ascii="Times New Roman" w:hAnsi="Times New Roman" w:cs="Times New Roman"/>
          <w:b/>
          <w:sz w:val="24"/>
          <w:szCs w:val="24"/>
        </w:rPr>
        <w:t>eceiving a NOAC</w:t>
      </w:r>
    </w:p>
    <w:p w:rsidR="00C05C93" w:rsidRPr="00310272" w:rsidRDefault="00C05C93" w:rsidP="006824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980"/>
        <w:gridCol w:w="2880"/>
        <w:gridCol w:w="2935"/>
        <w:gridCol w:w="3095"/>
      </w:tblGrid>
      <w:tr w:rsidR="001745A5" w:rsidRPr="00310272" w:rsidTr="004C5B2A">
        <w:tc>
          <w:tcPr>
            <w:tcW w:w="1980" w:type="dxa"/>
            <w:tcBorders>
              <w:bottom w:val="single" w:sz="4" w:space="0" w:color="auto"/>
            </w:tcBorders>
          </w:tcPr>
          <w:p w:rsidR="001745A5" w:rsidRPr="00310272" w:rsidRDefault="001745A5" w:rsidP="0011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Drug (Dose Regimen</w:t>
            </w:r>
            <w:r w:rsidR="004C5B2A"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:rsidR="001745A5" w:rsidRPr="00310272" w:rsidRDefault="001745A5" w:rsidP="0011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Renal Function</w:t>
            </w:r>
          </w:p>
        </w:tc>
        <w:tc>
          <w:tcPr>
            <w:tcW w:w="2935" w:type="dxa"/>
          </w:tcPr>
          <w:p w:rsidR="001745A5" w:rsidRPr="00310272" w:rsidRDefault="001745A5" w:rsidP="0011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Minor Surgery/Procedure*</w:t>
            </w:r>
          </w:p>
          <w:p w:rsidR="001745A5" w:rsidRPr="00310272" w:rsidRDefault="00A85786" w:rsidP="0011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(Low B</w:t>
            </w:r>
            <w:r w:rsidR="001745A5"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leeding </w:t>
            </w: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1745A5"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isk)</w:t>
            </w:r>
          </w:p>
          <w:p w:rsidR="001745A5" w:rsidRPr="00310272" w:rsidRDefault="001745A5" w:rsidP="0011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A5" w:rsidRPr="00310272" w:rsidRDefault="001745A5" w:rsidP="0011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A5" w:rsidRPr="00310272" w:rsidRDefault="001745A5" w:rsidP="00115F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i/>
                <w:sz w:val="24"/>
                <w:szCs w:val="24"/>
              </w:rPr>
              <w:t>12-25% residual anticoagulant effect at time of surgery acceptable</w:t>
            </w:r>
          </w:p>
        </w:tc>
        <w:tc>
          <w:tcPr>
            <w:tcW w:w="3095" w:type="dxa"/>
          </w:tcPr>
          <w:p w:rsidR="001745A5" w:rsidRPr="00310272" w:rsidRDefault="001745A5" w:rsidP="0011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Major Surgery/Procedure Including neuraxial procedures *†</w:t>
            </w:r>
          </w:p>
          <w:p w:rsidR="001745A5" w:rsidRPr="00310272" w:rsidRDefault="00A85786" w:rsidP="0011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(High Bleeding R</w:t>
            </w:r>
            <w:r w:rsidR="001745A5"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isk)</w:t>
            </w:r>
          </w:p>
          <w:p w:rsidR="001745A5" w:rsidRPr="00310272" w:rsidRDefault="001745A5" w:rsidP="00115F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i/>
                <w:sz w:val="24"/>
                <w:szCs w:val="24"/>
              </w:rPr>
              <w:t>&lt; 10% residual anticoagulant effect at time of surgery acceptable</w:t>
            </w:r>
          </w:p>
        </w:tc>
      </w:tr>
      <w:tr w:rsidR="001745A5" w:rsidRPr="00310272" w:rsidTr="004C5B2A">
        <w:tc>
          <w:tcPr>
            <w:tcW w:w="1980" w:type="dxa"/>
            <w:tcBorders>
              <w:bottom w:val="nil"/>
            </w:tcBorders>
          </w:tcPr>
          <w:p w:rsidR="001745A5" w:rsidRPr="00310272" w:rsidRDefault="001745A5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Dabigatran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(twice daily)</w:t>
            </w:r>
          </w:p>
        </w:tc>
        <w:tc>
          <w:tcPr>
            <w:tcW w:w="2880" w:type="dxa"/>
          </w:tcPr>
          <w:p w:rsidR="001745A5" w:rsidRPr="00310272" w:rsidRDefault="001745A5" w:rsidP="005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Normal renal</w:t>
            </w:r>
            <w:r w:rsidR="00BA29A1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function or mild impairment (Cr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115F65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856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≥50 mL/min) </w:t>
            </w:r>
            <w:r w:rsidR="00115F65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29A1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1745A5" w:rsidRPr="00310272" w:rsidRDefault="00B11856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2 days before surgery/procedure (i.e., skip 2 doses)</w:t>
            </w:r>
          </w:p>
        </w:tc>
        <w:tc>
          <w:tcPr>
            <w:tcW w:w="3095" w:type="dxa"/>
          </w:tcPr>
          <w:p w:rsidR="001745A5" w:rsidRPr="00310272" w:rsidRDefault="00B11856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3 days before surgery/procedure (i.e., skip 4 doses)</w:t>
            </w:r>
          </w:p>
        </w:tc>
      </w:tr>
      <w:tr w:rsidR="001745A5" w:rsidRPr="00310272" w:rsidTr="004C5B2A">
        <w:tc>
          <w:tcPr>
            <w:tcW w:w="1980" w:type="dxa"/>
            <w:tcBorders>
              <w:top w:val="nil"/>
            </w:tcBorders>
          </w:tcPr>
          <w:p w:rsidR="001745A5" w:rsidRPr="00310272" w:rsidRDefault="001745A5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5A5" w:rsidRPr="00310272" w:rsidRDefault="00B11856" w:rsidP="005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Moderate renal impairment </w:t>
            </w:r>
            <w:r w:rsidR="00115F65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(CrCl 30-49 mL/min)</w:t>
            </w:r>
            <w:r w:rsidR="00AD297E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1745A5" w:rsidRPr="00310272" w:rsidRDefault="00B11856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3 days before surgery/procedure (i.e., skip 4 doses)</w:t>
            </w:r>
          </w:p>
        </w:tc>
        <w:tc>
          <w:tcPr>
            <w:tcW w:w="3095" w:type="dxa"/>
          </w:tcPr>
          <w:p w:rsidR="001745A5" w:rsidRPr="00310272" w:rsidRDefault="00115F65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5 days before surgery/procedure (i.e., skip 8 doses)</w:t>
            </w:r>
          </w:p>
        </w:tc>
      </w:tr>
      <w:tr w:rsidR="00115F65" w:rsidRPr="00310272" w:rsidTr="00115F65">
        <w:tc>
          <w:tcPr>
            <w:tcW w:w="1980" w:type="dxa"/>
          </w:tcPr>
          <w:p w:rsidR="00115F65" w:rsidRPr="00310272" w:rsidRDefault="00115F65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Rivaroxaban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(once daily)</w:t>
            </w:r>
          </w:p>
        </w:tc>
        <w:tc>
          <w:tcPr>
            <w:tcW w:w="2880" w:type="dxa"/>
          </w:tcPr>
          <w:p w:rsidR="00115F65" w:rsidRPr="00310272" w:rsidRDefault="00115F65" w:rsidP="005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Normal renal function, mild or moderate impairment </w:t>
            </w:r>
            <w:r w:rsidR="00656900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(CrCl ≥ 30 mL/min) </w:t>
            </w:r>
            <w:r w:rsidR="00656900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35" w:type="dxa"/>
          </w:tcPr>
          <w:p w:rsidR="00115F65" w:rsidRPr="00310272" w:rsidRDefault="00656900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2 days before surge</w:t>
            </w:r>
            <w:r w:rsidR="00370D23" w:rsidRPr="00310272">
              <w:rPr>
                <w:rFonts w:ascii="Times New Roman" w:hAnsi="Times New Roman" w:cs="Times New Roman"/>
                <w:sz w:val="24"/>
                <w:szCs w:val="24"/>
              </w:rPr>
              <w:t>ry/procedure (i.e., skip 1 dose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</w:tcPr>
          <w:p w:rsidR="00115F65" w:rsidRPr="00310272" w:rsidRDefault="00656900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3 days before</w:t>
            </w:r>
            <w:r w:rsidR="00370D23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surgery/procedure (i.e., skip 2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doses)</w:t>
            </w:r>
          </w:p>
        </w:tc>
      </w:tr>
      <w:tr w:rsidR="004C5B2A" w:rsidRPr="00310272" w:rsidTr="00115F65">
        <w:tc>
          <w:tcPr>
            <w:tcW w:w="1980" w:type="dxa"/>
          </w:tcPr>
          <w:p w:rsidR="004C5B2A" w:rsidRPr="00310272" w:rsidRDefault="004C5B2A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Apixaban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(twice daily)</w:t>
            </w:r>
          </w:p>
        </w:tc>
        <w:tc>
          <w:tcPr>
            <w:tcW w:w="2880" w:type="dxa"/>
          </w:tcPr>
          <w:p w:rsidR="00F70287" w:rsidRPr="00310272" w:rsidRDefault="004C5B2A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Normal renal function, mild or moderate impairment </w:t>
            </w:r>
          </w:p>
          <w:p w:rsidR="00C05C93" w:rsidRDefault="004C5B2A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(CrCl</w:t>
            </w:r>
            <w:r w:rsidR="00F70287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≥ 30 mL/min)    </w:t>
            </w:r>
          </w:p>
          <w:p w:rsidR="00C05C93" w:rsidRPr="00310272" w:rsidRDefault="00C05C93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4C5B2A" w:rsidRPr="00310272" w:rsidRDefault="00083A04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2 days before surgery/procedure (i.e., skip 2 doses)</w:t>
            </w:r>
          </w:p>
        </w:tc>
        <w:tc>
          <w:tcPr>
            <w:tcW w:w="3095" w:type="dxa"/>
          </w:tcPr>
          <w:p w:rsidR="004C5B2A" w:rsidRPr="00310272" w:rsidRDefault="00083A04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3 days before surgery/procedure (i.e., skip 4 doses)</w:t>
            </w:r>
          </w:p>
        </w:tc>
      </w:tr>
      <w:tr w:rsidR="00C05C93" w:rsidRPr="00310272" w:rsidTr="00115F65">
        <w:tc>
          <w:tcPr>
            <w:tcW w:w="1980" w:type="dxa"/>
          </w:tcPr>
          <w:p w:rsidR="00C05C93" w:rsidRPr="00310272" w:rsidRDefault="00C05C93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Edoxaban </w:t>
            </w:r>
            <w:r w:rsidRPr="00C05C93">
              <w:rPr>
                <w:rFonts w:ascii="Times New Roman" w:hAnsi="Times New Roman" w:cs="Times New Roman"/>
                <w:sz w:val="24"/>
                <w:szCs w:val="24"/>
              </w:rPr>
              <w:t>(once daily)</w:t>
            </w:r>
          </w:p>
        </w:tc>
        <w:tc>
          <w:tcPr>
            <w:tcW w:w="2880" w:type="dxa"/>
          </w:tcPr>
          <w:p w:rsidR="00C05C93" w:rsidRPr="00310272" w:rsidRDefault="00C05C93" w:rsidP="001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renal function or mild impairment (CrCl </w:t>
            </w:r>
            <w:r w:rsidR="0054202D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103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0 mL/min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C05C93" w:rsidRPr="00310272" w:rsidRDefault="0054202D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last dose 2 days before surgery/procedure (i.e., skip 1 dose).</w:t>
            </w:r>
          </w:p>
        </w:tc>
        <w:tc>
          <w:tcPr>
            <w:tcW w:w="3095" w:type="dxa"/>
          </w:tcPr>
          <w:p w:rsidR="00C05C93" w:rsidRPr="00310272" w:rsidRDefault="0054202D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Give last dose 3 days before surgery/procedure (i.e., skip 2 doses)</w:t>
            </w:r>
          </w:p>
        </w:tc>
      </w:tr>
    </w:tbl>
    <w:p w:rsidR="00682496" w:rsidRPr="00310272" w:rsidRDefault="00656900" w:rsidP="004C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*No anticoagulant taken on the day of surgery/procedure.</w:t>
      </w:r>
    </w:p>
    <w:p w:rsidR="00656900" w:rsidRDefault="00656900" w:rsidP="0091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†Neuraxial procedures include spinal anesthesia, epidural catheter insertion and </w:t>
      </w:r>
      <w:r w:rsidR="004C5B2A" w:rsidRPr="00310272">
        <w:rPr>
          <w:rFonts w:ascii="Times New Roman" w:hAnsi="Times New Roman" w:cs="Times New Roman"/>
          <w:sz w:val="24"/>
          <w:szCs w:val="24"/>
        </w:rPr>
        <w:t xml:space="preserve">  </w:t>
      </w:r>
      <w:r w:rsidRPr="00310272">
        <w:rPr>
          <w:rFonts w:ascii="Times New Roman" w:hAnsi="Times New Roman" w:cs="Times New Roman"/>
          <w:sz w:val="24"/>
          <w:szCs w:val="24"/>
        </w:rPr>
        <w:t xml:space="preserve">epidural catheter removal. </w:t>
      </w:r>
    </w:p>
    <w:p w:rsidR="00914C25" w:rsidRDefault="00914C25" w:rsidP="0091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6C2" w:rsidRPr="00310272" w:rsidRDefault="001036C2" w:rsidP="0091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86" w:rsidRPr="00310272" w:rsidRDefault="00A85786" w:rsidP="00A85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 xml:space="preserve">Table 2. Suggested Guide for </w:t>
      </w:r>
      <w:r w:rsidRPr="00310272">
        <w:rPr>
          <w:rFonts w:ascii="Times New Roman" w:hAnsi="Times New Roman" w:cs="Times New Roman"/>
          <w:b/>
          <w:i/>
          <w:sz w:val="24"/>
          <w:szCs w:val="24"/>
          <w:u w:val="single"/>
        </w:rPr>
        <w:t>Post-Operative</w:t>
      </w:r>
      <w:r w:rsidRPr="00310272">
        <w:rPr>
          <w:rFonts w:ascii="Times New Roman" w:hAnsi="Times New Roman" w:cs="Times New Roman"/>
          <w:b/>
          <w:sz w:val="24"/>
          <w:szCs w:val="24"/>
        </w:rPr>
        <w:t xml:space="preserve"> Management of Patients Receiving a NOAC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2340"/>
        <w:gridCol w:w="4656"/>
        <w:gridCol w:w="3894"/>
      </w:tblGrid>
      <w:tr w:rsidR="00A85786" w:rsidRPr="00310272" w:rsidTr="00914C25">
        <w:tc>
          <w:tcPr>
            <w:tcW w:w="2340" w:type="dxa"/>
          </w:tcPr>
          <w:p w:rsidR="00A85786" w:rsidRPr="00310272" w:rsidRDefault="00A85786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Drug</w:t>
            </w:r>
          </w:p>
        </w:tc>
        <w:tc>
          <w:tcPr>
            <w:tcW w:w="4656" w:type="dxa"/>
          </w:tcPr>
          <w:p w:rsidR="00A85786" w:rsidRPr="00310272" w:rsidRDefault="00A85786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Minor Surgery/Procedure</w:t>
            </w:r>
            <w:r w:rsidR="001170C0"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(Low Bleeding Risk)</w:t>
            </w:r>
          </w:p>
        </w:tc>
        <w:tc>
          <w:tcPr>
            <w:tcW w:w="3894" w:type="dxa"/>
          </w:tcPr>
          <w:p w:rsidR="00A85786" w:rsidRPr="00310272" w:rsidRDefault="00A85786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Major Surgery/Procedure (High Bleeding Risk)</w:t>
            </w:r>
          </w:p>
        </w:tc>
      </w:tr>
      <w:tr w:rsidR="00A85786" w:rsidRPr="00310272" w:rsidTr="00914C25">
        <w:tc>
          <w:tcPr>
            <w:tcW w:w="2340" w:type="dxa"/>
          </w:tcPr>
          <w:p w:rsidR="00A85786" w:rsidRPr="00310272" w:rsidRDefault="00A85786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Dabigatran</w:t>
            </w:r>
          </w:p>
        </w:tc>
        <w:tc>
          <w:tcPr>
            <w:tcW w:w="4656" w:type="dxa"/>
          </w:tcPr>
          <w:p w:rsidR="00A85786" w:rsidRPr="00310272" w:rsidRDefault="00A85786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Resume on day after surgery </w:t>
            </w:r>
            <w:r w:rsidR="00643C30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1901" w:rsidRPr="00310272">
              <w:rPr>
                <w:rFonts w:ascii="Times New Roman" w:hAnsi="Times New Roman" w:cs="Times New Roman"/>
                <w:sz w:val="24"/>
                <w:szCs w:val="24"/>
              </w:rPr>
              <w:t>~24 hours post-operative)</w:t>
            </w:r>
          </w:p>
        </w:tc>
        <w:tc>
          <w:tcPr>
            <w:tcW w:w="3894" w:type="dxa"/>
          </w:tcPr>
          <w:p w:rsidR="00A85786" w:rsidRPr="00310272" w:rsidRDefault="00EC1901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Resume 2 days after surgery (~48 hours post-operative)</w:t>
            </w:r>
          </w:p>
        </w:tc>
      </w:tr>
      <w:tr w:rsidR="00A85786" w:rsidRPr="00310272" w:rsidTr="00914C25">
        <w:tc>
          <w:tcPr>
            <w:tcW w:w="2340" w:type="dxa"/>
          </w:tcPr>
          <w:p w:rsidR="00A85786" w:rsidRPr="00310272" w:rsidRDefault="00EC1901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Rivaroxaban</w:t>
            </w:r>
          </w:p>
        </w:tc>
        <w:tc>
          <w:tcPr>
            <w:tcW w:w="4656" w:type="dxa"/>
          </w:tcPr>
          <w:p w:rsidR="00A85786" w:rsidRPr="00310272" w:rsidRDefault="00EC1901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Resume on day after surgery </w:t>
            </w:r>
            <w:r w:rsidR="00643C30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(~24 hours post-operative)</w:t>
            </w:r>
          </w:p>
        </w:tc>
        <w:tc>
          <w:tcPr>
            <w:tcW w:w="3894" w:type="dxa"/>
          </w:tcPr>
          <w:p w:rsidR="00A85786" w:rsidRPr="00310272" w:rsidRDefault="00EC1901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Resume 2 days after surgery (~48 hours post-operative)</w:t>
            </w:r>
          </w:p>
        </w:tc>
      </w:tr>
      <w:tr w:rsidR="00A85786" w:rsidRPr="00310272" w:rsidTr="00914C25">
        <w:tc>
          <w:tcPr>
            <w:tcW w:w="2340" w:type="dxa"/>
          </w:tcPr>
          <w:p w:rsidR="00A85786" w:rsidRPr="00310272" w:rsidRDefault="00EC1901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b/>
                <w:sz w:val="24"/>
                <w:szCs w:val="24"/>
              </w:rPr>
              <w:t>Apixaban</w:t>
            </w:r>
          </w:p>
        </w:tc>
        <w:tc>
          <w:tcPr>
            <w:tcW w:w="4656" w:type="dxa"/>
          </w:tcPr>
          <w:p w:rsidR="00A85786" w:rsidRPr="00310272" w:rsidRDefault="00EC1901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Resume on day after surgery </w:t>
            </w:r>
            <w:r w:rsidR="00643C30" w:rsidRPr="0031027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(~24 hours post-operative)</w:t>
            </w:r>
          </w:p>
        </w:tc>
        <w:tc>
          <w:tcPr>
            <w:tcW w:w="3894" w:type="dxa"/>
          </w:tcPr>
          <w:p w:rsidR="00A85786" w:rsidRPr="00310272" w:rsidRDefault="00EC1901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Resume 2 days after surgery (~48 hours post-operative)</w:t>
            </w:r>
          </w:p>
        </w:tc>
      </w:tr>
      <w:tr w:rsidR="0054202D" w:rsidRPr="00310272" w:rsidTr="00914C25">
        <w:tc>
          <w:tcPr>
            <w:tcW w:w="2340" w:type="dxa"/>
          </w:tcPr>
          <w:p w:rsidR="0054202D" w:rsidRPr="00310272" w:rsidRDefault="0054202D" w:rsidP="0068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Edoxaban </w:t>
            </w:r>
          </w:p>
        </w:tc>
        <w:tc>
          <w:tcPr>
            <w:tcW w:w="4656" w:type="dxa"/>
          </w:tcPr>
          <w:p w:rsidR="0054202D" w:rsidRPr="00310272" w:rsidRDefault="0054202D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Resume on day after surgery           (~24 hours post-operative)</w:t>
            </w:r>
          </w:p>
        </w:tc>
        <w:tc>
          <w:tcPr>
            <w:tcW w:w="3894" w:type="dxa"/>
          </w:tcPr>
          <w:p w:rsidR="0054202D" w:rsidRPr="00310272" w:rsidRDefault="0054202D" w:rsidP="006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72">
              <w:rPr>
                <w:rFonts w:ascii="Times New Roman" w:hAnsi="Times New Roman" w:cs="Times New Roman"/>
                <w:sz w:val="24"/>
                <w:szCs w:val="24"/>
              </w:rPr>
              <w:t>Resume 2 days after surgery (~48 hours post-operative)</w:t>
            </w:r>
          </w:p>
        </w:tc>
      </w:tr>
    </w:tbl>
    <w:p w:rsidR="004C0C07" w:rsidRDefault="004C0C07" w:rsidP="0068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CD1" w:rsidRPr="00F120E9" w:rsidRDefault="00321E08" w:rsidP="00AB3C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Tablet 3. </w:t>
      </w:r>
      <w:r w:rsidR="00AB3CD1" w:rsidRPr="00F120E9">
        <w:rPr>
          <w:rFonts w:ascii="Times New Roman" w:hAnsi="Times New Roman" w:cs="Times New Roman"/>
          <w:b/>
          <w:sz w:val="24"/>
          <w:szCs w:val="24"/>
        </w:rPr>
        <w:t>Patient Stratification for Bleeding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3CD1" w:rsidRPr="00F120E9" w:rsidTr="00553C0F">
        <w:tc>
          <w:tcPr>
            <w:tcW w:w="9576" w:type="dxa"/>
          </w:tcPr>
          <w:p w:rsidR="00AB3CD1" w:rsidRPr="00F120E9" w:rsidRDefault="00AB3CD1" w:rsidP="0055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High: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Any surgery or procedure with neuraxial (spinal or epidural) anesthesia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Neurosurgery (intracranial or spinal)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Cardiac surgery (e.g., CABG, heart valve replacement)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Major intra-abdominal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Major vascular surgery (e.g., aortic aneurysm repair, aortofemoral bypass)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Major orthopedic surgery (e.g., hip or knee replacement)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Lung resection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Urological surgery (e.g., prostatectomy, bladder tumor resection)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Extensive cancer surgery (e.g., pancreas, liver)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Intestinal anastomosis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Reconstructive plastic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Selected procedures (e.g., kidney biopsy, prostate biopsy, cervical cone biopsy, pericardiocentesis, colonic polypectomy)</w:t>
            </w:r>
          </w:p>
          <w:p w:rsidR="00AB3CD1" w:rsidRPr="00F120E9" w:rsidRDefault="00AB3CD1" w:rsidP="0055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D1" w:rsidRPr="00F120E9" w:rsidRDefault="00AB3CD1" w:rsidP="0055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Moderate: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intra-abdominal surgery (e.g., laparoscopic cholecystectomy or hernia repair)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general surgery (e.g., breast)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intrathoracic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orthopedic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Other vascular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Non-cataract ophthalmologic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Gastroscopy or colonoscopy with biopsies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Selected procedures (e.g., bone marrow biopsy, lymph node biopsy)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Complex dental procedure (e.g., multiple tooth extractions)</w:t>
            </w:r>
          </w:p>
          <w:p w:rsidR="00AB3CD1" w:rsidRPr="00F120E9" w:rsidRDefault="00AB3CD1" w:rsidP="0055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D1" w:rsidRPr="00F120E9" w:rsidRDefault="00AB3CD1" w:rsidP="0055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Low (Non-Dental): 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Cataract surgery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Dermatologic procedures (e.g., biopsy)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Gastroscopy or colonoscopy without biopsies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Coronary angiography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Permanent pacemaker insertion or internal defibrillator placement (if bridging anticoagulation is not used)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Selected procedures (e.g., thoracentesis, paracentesis, arthrocentesis) </w:t>
            </w:r>
          </w:p>
          <w:p w:rsidR="00AB3CD1" w:rsidRPr="00F120E9" w:rsidRDefault="00AB3CD1" w:rsidP="0055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D1" w:rsidRPr="00F120E9" w:rsidRDefault="00AB3CD1" w:rsidP="0055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b/>
                <w:sz w:val="24"/>
                <w:szCs w:val="24"/>
              </w:rPr>
              <w:t>Low (Dental):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Dental extractions (1 or 2 teeth)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Endodontic (root canal) procedure</w:t>
            </w:r>
          </w:p>
          <w:p w:rsidR="00AB3CD1" w:rsidRPr="00F120E9" w:rsidRDefault="00AB3CD1" w:rsidP="00AB3C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0E9">
              <w:rPr>
                <w:rFonts w:ascii="Times New Roman" w:hAnsi="Times New Roman" w:cs="Times New Roman"/>
                <w:sz w:val="24"/>
                <w:szCs w:val="24"/>
              </w:rPr>
              <w:t>Subgingival scaling or other cleaning</w:t>
            </w:r>
          </w:p>
          <w:p w:rsidR="00AB3CD1" w:rsidRPr="00F120E9" w:rsidRDefault="00AB3CD1" w:rsidP="00553C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D1" w:rsidRDefault="00AB3CD1" w:rsidP="0068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E08" w:rsidRPr="00310272" w:rsidRDefault="00321E08" w:rsidP="00321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Special Considerations:</w:t>
      </w:r>
    </w:p>
    <w:p w:rsidR="00321E08" w:rsidRPr="00310272" w:rsidRDefault="00321E08" w:rsidP="00321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Patients Having Minor Procedures:</w:t>
      </w:r>
    </w:p>
    <w:p w:rsidR="00321E08" w:rsidRPr="00310272" w:rsidRDefault="00321E08" w:rsidP="00321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In NOAC-treated patients who require dental procedures (e.g., extraction, root canal), cataract surgery or minor skin procedures, it is likely safe to not interrupt anticoagulation (as is done in warfarin-treated patients) but data to support such a practice are lacking. </w:t>
      </w:r>
    </w:p>
    <w:p w:rsidR="00321E08" w:rsidRPr="00310272" w:rsidRDefault="00321E08" w:rsidP="00321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E08" w:rsidRPr="00310272" w:rsidRDefault="00321E08" w:rsidP="00321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>Need for Bridging in NOAC-treated Patients</w:t>
      </w:r>
      <w:r w:rsidRPr="00310272">
        <w:rPr>
          <w:rFonts w:ascii="Times New Roman" w:hAnsi="Times New Roman" w:cs="Times New Roman"/>
          <w:sz w:val="24"/>
          <w:szCs w:val="24"/>
        </w:rPr>
        <w:t>:</w:t>
      </w:r>
    </w:p>
    <w:p w:rsidR="00321E08" w:rsidRDefault="00321E08" w:rsidP="00321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>In general, the rapid offset and onset of action of NOACs obviated the need for “heparin bridging” as is done in selected warfarin-treated patients.</w:t>
      </w:r>
    </w:p>
    <w:p w:rsidR="004C0C07" w:rsidRPr="00310272" w:rsidRDefault="004C0C07" w:rsidP="004C0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07" w:rsidRPr="00310272" w:rsidRDefault="004C0C07" w:rsidP="004C0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272">
        <w:rPr>
          <w:rFonts w:ascii="Times New Roman" w:hAnsi="Times New Roman" w:cs="Times New Roman"/>
          <w:sz w:val="24"/>
          <w:szCs w:val="24"/>
        </w:rPr>
        <w:t xml:space="preserve">All information can be referenced to original website: </w:t>
      </w:r>
      <w:hyperlink r:id="rId8" w:history="1">
        <w:r w:rsidRPr="00310272">
          <w:rPr>
            <w:rStyle w:val="Hyperlink"/>
            <w:rFonts w:ascii="Times New Roman" w:hAnsi="Times New Roman" w:cs="Times New Roman"/>
            <w:sz w:val="24"/>
            <w:szCs w:val="24"/>
          </w:rPr>
          <w:t>www.thrombosiscanada.ca</w:t>
        </w:r>
      </w:hyperlink>
    </w:p>
    <w:p w:rsidR="004C0C07" w:rsidRPr="00310272" w:rsidRDefault="004C0C07" w:rsidP="004C0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C07" w:rsidRPr="00310272" w:rsidRDefault="004C0C07" w:rsidP="004C0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272">
        <w:rPr>
          <w:rFonts w:ascii="Times New Roman" w:hAnsi="Times New Roman" w:cs="Times New Roman"/>
          <w:b/>
          <w:sz w:val="24"/>
          <w:szCs w:val="24"/>
        </w:rPr>
        <w:t xml:space="preserve">Thrombosis Canada. 2016. Thrombosis Canada Clinic Guidelines [online] Available at:  &lt;http://thrombosiscanda.ca/&gt;. Accessed 30 March 2017. </w:t>
      </w:r>
    </w:p>
    <w:p w:rsidR="004C0C07" w:rsidRPr="00310272" w:rsidRDefault="004C0C07" w:rsidP="0068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0C07" w:rsidRPr="003102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A3" w:rsidRDefault="00A444A3" w:rsidP="00DC41C0">
      <w:pPr>
        <w:spacing w:after="0" w:line="240" w:lineRule="auto"/>
      </w:pPr>
      <w:r>
        <w:separator/>
      </w:r>
    </w:p>
  </w:endnote>
  <w:endnote w:type="continuationSeparator" w:id="0">
    <w:p w:rsidR="00A444A3" w:rsidRDefault="00A444A3" w:rsidP="00DC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73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9A1" w:rsidRDefault="00BA29A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A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9A1" w:rsidRDefault="00BA2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A3" w:rsidRDefault="00A444A3" w:rsidP="00DC41C0">
      <w:pPr>
        <w:spacing w:after="0" w:line="240" w:lineRule="auto"/>
      </w:pPr>
      <w:r>
        <w:separator/>
      </w:r>
    </w:p>
  </w:footnote>
  <w:footnote w:type="continuationSeparator" w:id="0">
    <w:p w:rsidR="00A444A3" w:rsidRDefault="00A444A3" w:rsidP="00DC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DFF"/>
    <w:multiLevelType w:val="hybridMultilevel"/>
    <w:tmpl w:val="2E28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C7218"/>
    <w:multiLevelType w:val="hybridMultilevel"/>
    <w:tmpl w:val="A462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914A9"/>
    <w:multiLevelType w:val="hybridMultilevel"/>
    <w:tmpl w:val="85C2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132DE"/>
    <w:multiLevelType w:val="hybridMultilevel"/>
    <w:tmpl w:val="710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C5D97"/>
    <w:multiLevelType w:val="hybridMultilevel"/>
    <w:tmpl w:val="8022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591C"/>
    <w:multiLevelType w:val="hybridMultilevel"/>
    <w:tmpl w:val="B728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1C540"/>
    <w:multiLevelType w:val="hybridMultilevel"/>
    <w:tmpl w:val="A338CE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7716D0D"/>
    <w:multiLevelType w:val="hybridMultilevel"/>
    <w:tmpl w:val="9D04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05051"/>
    <w:multiLevelType w:val="hybridMultilevel"/>
    <w:tmpl w:val="0FAA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F40EF"/>
    <w:multiLevelType w:val="hybridMultilevel"/>
    <w:tmpl w:val="F1B4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35AB5"/>
    <w:multiLevelType w:val="hybridMultilevel"/>
    <w:tmpl w:val="306A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45"/>
    <w:rsid w:val="00006D86"/>
    <w:rsid w:val="00017FDD"/>
    <w:rsid w:val="0007013E"/>
    <w:rsid w:val="00081013"/>
    <w:rsid w:val="00083A04"/>
    <w:rsid w:val="001036C2"/>
    <w:rsid w:val="00115F65"/>
    <w:rsid w:val="001170C0"/>
    <w:rsid w:val="00133D09"/>
    <w:rsid w:val="001745A5"/>
    <w:rsid w:val="001E7691"/>
    <w:rsid w:val="00253D22"/>
    <w:rsid w:val="00282D24"/>
    <w:rsid w:val="00296A40"/>
    <w:rsid w:val="00310272"/>
    <w:rsid w:val="00320101"/>
    <w:rsid w:val="00321E08"/>
    <w:rsid w:val="00370D23"/>
    <w:rsid w:val="00371A22"/>
    <w:rsid w:val="00392FCC"/>
    <w:rsid w:val="003B33A0"/>
    <w:rsid w:val="003B419B"/>
    <w:rsid w:val="004242E1"/>
    <w:rsid w:val="00497F84"/>
    <w:rsid w:val="004C0C07"/>
    <w:rsid w:val="004C5B2A"/>
    <w:rsid w:val="0054202D"/>
    <w:rsid w:val="005E7CA9"/>
    <w:rsid w:val="005F02EA"/>
    <w:rsid w:val="005F495E"/>
    <w:rsid w:val="00643C30"/>
    <w:rsid w:val="00656900"/>
    <w:rsid w:val="0066472A"/>
    <w:rsid w:val="0067085D"/>
    <w:rsid w:val="00682496"/>
    <w:rsid w:val="0068632A"/>
    <w:rsid w:val="00711FDB"/>
    <w:rsid w:val="0074520B"/>
    <w:rsid w:val="007F3CE2"/>
    <w:rsid w:val="008021CD"/>
    <w:rsid w:val="008C6DC5"/>
    <w:rsid w:val="008D4DE5"/>
    <w:rsid w:val="0091043A"/>
    <w:rsid w:val="00914C25"/>
    <w:rsid w:val="0091771D"/>
    <w:rsid w:val="00954E45"/>
    <w:rsid w:val="00A444A3"/>
    <w:rsid w:val="00A75AD3"/>
    <w:rsid w:val="00A85786"/>
    <w:rsid w:val="00AB3CD1"/>
    <w:rsid w:val="00AC1BB1"/>
    <w:rsid w:val="00AD297E"/>
    <w:rsid w:val="00B11856"/>
    <w:rsid w:val="00B231D9"/>
    <w:rsid w:val="00B64D83"/>
    <w:rsid w:val="00B82BA0"/>
    <w:rsid w:val="00BA29A1"/>
    <w:rsid w:val="00BD6980"/>
    <w:rsid w:val="00BF0C02"/>
    <w:rsid w:val="00C05C93"/>
    <w:rsid w:val="00C75C38"/>
    <w:rsid w:val="00CC418A"/>
    <w:rsid w:val="00D27741"/>
    <w:rsid w:val="00D34F39"/>
    <w:rsid w:val="00D55F68"/>
    <w:rsid w:val="00DC41C0"/>
    <w:rsid w:val="00E30749"/>
    <w:rsid w:val="00E33576"/>
    <w:rsid w:val="00EC1901"/>
    <w:rsid w:val="00F40206"/>
    <w:rsid w:val="00F70287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1C0"/>
  </w:style>
  <w:style w:type="paragraph" w:styleId="Footer">
    <w:name w:val="footer"/>
    <w:basedOn w:val="Normal"/>
    <w:link w:val="FooterChar"/>
    <w:uiPriority w:val="99"/>
    <w:unhideWhenUsed/>
    <w:rsid w:val="00DC4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1C0"/>
  </w:style>
  <w:style w:type="table" w:styleId="TableGrid">
    <w:name w:val="Table Grid"/>
    <w:basedOn w:val="TableNormal"/>
    <w:uiPriority w:val="59"/>
    <w:rsid w:val="0017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82BA0"/>
    <w:rPr>
      <w:color w:val="0000FF" w:themeColor="hyperlink"/>
      <w:u w:val="single"/>
    </w:rPr>
  </w:style>
  <w:style w:type="paragraph" w:customStyle="1" w:styleId="Default">
    <w:name w:val="Default"/>
    <w:rsid w:val="00103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1C0"/>
  </w:style>
  <w:style w:type="paragraph" w:styleId="Footer">
    <w:name w:val="footer"/>
    <w:basedOn w:val="Normal"/>
    <w:link w:val="FooterChar"/>
    <w:uiPriority w:val="99"/>
    <w:unhideWhenUsed/>
    <w:rsid w:val="00DC4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1C0"/>
  </w:style>
  <w:style w:type="table" w:styleId="TableGrid">
    <w:name w:val="Table Grid"/>
    <w:basedOn w:val="TableNormal"/>
    <w:uiPriority w:val="59"/>
    <w:rsid w:val="0017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82BA0"/>
    <w:rPr>
      <w:color w:val="0000FF" w:themeColor="hyperlink"/>
      <w:u w:val="single"/>
    </w:rPr>
  </w:style>
  <w:style w:type="paragraph" w:customStyle="1" w:styleId="Default">
    <w:name w:val="Default"/>
    <w:rsid w:val="00103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ombosiscanada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8216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McNamara, Barbara</dc:creator>
  <cp:lastModifiedBy>Richmond, Jeanne</cp:lastModifiedBy>
  <cp:revision>2</cp:revision>
  <cp:lastPrinted>2017-08-28T16:48:00Z</cp:lastPrinted>
  <dcterms:created xsi:type="dcterms:W3CDTF">2017-08-28T16:48:00Z</dcterms:created>
  <dcterms:modified xsi:type="dcterms:W3CDTF">2017-08-28T16:48:00Z</dcterms:modified>
</cp:coreProperties>
</file>